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7698E">
      <w:pPr>
        <w:spacing w:after="0"/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24E59DD2" w:rsidR="00F31123" w:rsidRDefault="003C0227" w:rsidP="00F7698E">
      <w:pPr>
        <w:spacing w:after="0"/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>iesniedz Iepirkumu uzraudzības birojam</w:t>
      </w:r>
      <w:r w:rsidR="00EF66E6">
        <w:t xml:space="preserve"> oficiālās</w:t>
      </w:r>
      <w:r w:rsidR="00E55B56">
        <w:t xml:space="preserve"> statistikas</w:t>
      </w:r>
      <w:r w:rsidR="00EF66E6">
        <w:t xml:space="preserve"> veidlapu</w:t>
      </w:r>
      <w:r w:rsidR="00E55B56">
        <w:t xml:space="preserve"> </w:t>
      </w:r>
      <w:r w:rsidR="00EF66E6">
        <w:t>“P</w:t>
      </w:r>
      <w:r w:rsidR="00E55B56">
        <w:t>ārskat</w:t>
      </w:r>
      <w:r w:rsidR="00EF66E6">
        <w:t>s par pasūtītāju veiktajiem iepirkumiem aizsardzības un drošības jomā”</w:t>
      </w:r>
      <w:r w:rsidR="00E55B56">
        <w:t xml:space="preserve"> Nr. </w:t>
      </w:r>
      <w:r w:rsidR="0094782B">
        <w:t>3</w:t>
      </w:r>
      <w:r w:rsidR="00E55B56">
        <w:t xml:space="preserve">-ADJIL vai </w:t>
      </w:r>
      <w:r w:rsidR="00EF66E6">
        <w:t xml:space="preserve">“Pārskats par sabiedrisko pakalpojumu sniedzēju veiktajiem iepirkumiem aizsardzības un drošības jomā” </w:t>
      </w:r>
      <w:r w:rsidR="00E55B56">
        <w:t xml:space="preserve">Nr. </w:t>
      </w:r>
      <w:r w:rsidR="0094782B">
        <w:t>4</w:t>
      </w:r>
      <w:r w:rsidR="00E55B56">
        <w:t xml:space="preserve">-ADJIL/SPSIL.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275210CA" w:rsidR="00A777E1" w:rsidRDefault="00F31123" w:rsidP="00F7698E">
      <w:pPr>
        <w:spacing w:after="0"/>
        <w:jc w:val="both"/>
      </w:pPr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</w:t>
      </w:r>
      <w:r w:rsidR="00575832">
        <w:t xml:space="preserve">no </w:t>
      </w:r>
      <w:r w:rsidR="003D5AF7">
        <w:t>01</w:t>
      </w:r>
      <w:r w:rsidR="00575832">
        <w:t>.01.20</w:t>
      </w:r>
      <w:r w:rsidR="0083467E">
        <w:t>20</w:t>
      </w:r>
      <w:r w:rsidR="00575832">
        <w:t>.</w:t>
      </w:r>
      <w:r w:rsidR="00494467">
        <w:t xml:space="preserve"> </w:t>
      </w:r>
      <w:r w:rsidR="007D76AB">
        <w:t xml:space="preserve">preču un pakalpojumu iepirkumiem </w:t>
      </w:r>
      <w:r w:rsidR="009C5648">
        <w:t xml:space="preserve">– </w:t>
      </w:r>
      <w:r w:rsidR="00494467">
        <w:t>sākot no 4</w:t>
      </w:r>
      <w:r w:rsidR="0083467E">
        <w:t>28</w:t>
      </w:r>
      <w:r w:rsidR="00494467">
        <w:t> 000 EUR</w:t>
      </w:r>
      <w:r w:rsidR="009C5648">
        <w:t>,</w:t>
      </w:r>
      <w:r w:rsidR="00494467">
        <w:t xml:space="preserve"> un būvdarbu iepirkumiem</w:t>
      </w:r>
      <w:r w:rsidR="00575832">
        <w:t xml:space="preserve"> no </w:t>
      </w:r>
      <w:r w:rsidR="003D5AF7">
        <w:t>01</w:t>
      </w:r>
      <w:r w:rsidR="00575832">
        <w:t>.01.20</w:t>
      </w:r>
      <w:r w:rsidR="0083467E">
        <w:t>20</w:t>
      </w:r>
      <w:r w:rsidR="00575832">
        <w:t>.</w:t>
      </w:r>
      <w:r w:rsidR="009C5648">
        <w:t xml:space="preserve"> – </w:t>
      </w:r>
      <w:r w:rsidR="00575832">
        <w:t xml:space="preserve">sākot </w:t>
      </w:r>
      <w:r w:rsidR="00494467">
        <w:t>no 5 </w:t>
      </w:r>
      <w:r w:rsidR="0083467E">
        <w:t>350</w:t>
      </w:r>
      <w:r w:rsidR="00494467">
        <w:t> 000 EUR)</w:t>
      </w:r>
      <w:r w:rsidR="004A4595">
        <w:t xml:space="preserve"> ir vienāda ar Ministru kabineta noteikumos noteikto līgumcenas robežvērtību vai lielāka (turpmāk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7698E">
      <w:pPr>
        <w:spacing w:after="0"/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7698E">
      <w:pPr>
        <w:spacing w:after="0"/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5E6646F9" w:rsidR="00F31123" w:rsidRDefault="00F31123" w:rsidP="00F7698E">
      <w:pPr>
        <w:spacing w:after="0"/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14BDB8E5" w14:textId="77777777" w:rsidR="00F7698E" w:rsidRDefault="00F7698E" w:rsidP="00F7698E">
      <w:pPr>
        <w:spacing w:after="0"/>
        <w:jc w:val="both"/>
      </w:pPr>
    </w:p>
    <w:p w14:paraId="63BDB67D" w14:textId="77777777" w:rsidR="00F31123" w:rsidRPr="00746459" w:rsidRDefault="00F31123" w:rsidP="00F7698E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3AE024A4" w:rsidR="00F31123" w:rsidRDefault="00F31123" w:rsidP="00F7698E">
      <w:pPr>
        <w:spacing w:after="0"/>
        <w:jc w:val="both"/>
      </w:pPr>
      <w:r>
        <w:t xml:space="preserve">Dati tīmekļvietnes sadaļā </w:t>
      </w:r>
      <w:r w:rsidR="0083467E">
        <w:rPr>
          <w:b/>
          <w:i/>
        </w:rPr>
        <w:t>Iepirkumu dati</w:t>
      </w:r>
      <w:r w:rsidR="0083467E">
        <w:t xml:space="preserve"> </w:t>
      </w:r>
      <w:r>
        <w:t xml:space="preserve">zem </w:t>
      </w:r>
      <w:r w:rsidRPr="00550F7F">
        <w:rPr>
          <w:b/>
          <w:i/>
        </w:rPr>
        <w:t>Statistika</w:t>
      </w:r>
      <w:r w:rsidR="0083467E">
        <w:rPr>
          <w:b/>
          <w:i/>
        </w:rPr>
        <w:t xml:space="preserve"> </w:t>
      </w:r>
      <w:r w:rsidRPr="00550F7F">
        <w:rPr>
          <w:b/>
          <w:i/>
        </w:rPr>
        <w:t>/</w:t>
      </w:r>
      <w:r w:rsidR="0083467E">
        <w:rPr>
          <w:b/>
          <w:i/>
        </w:rPr>
        <w:t xml:space="preserve"> </w:t>
      </w:r>
      <w:r w:rsidR="007B47B4">
        <w:rPr>
          <w:b/>
          <w:i/>
        </w:rPr>
        <w:t xml:space="preserve">Oficiālās statistikas veidlapu dati/ </w:t>
      </w:r>
      <w:r>
        <w:rPr>
          <w:b/>
          <w:i/>
        </w:rPr>
        <w:t>ES direktīvu prasībām apkopotā statistika</w:t>
      </w:r>
      <w:r w:rsidR="0083467E">
        <w:rPr>
          <w:b/>
          <w:i/>
        </w:rPr>
        <w:t xml:space="preserve"> </w:t>
      </w:r>
      <w:r>
        <w:rPr>
          <w:b/>
          <w:i/>
        </w:rPr>
        <w:t>/</w:t>
      </w:r>
      <w:r w:rsidR="0083467E">
        <w:rPr>
          <w:b/>
          <w:i/>
        </w:rPr>
        <w:t xml:space="preserve"> Atskaite saskaņā ar Direktīvu 2009/81/EK pēc iepirkumu veidiem – Būvdarbi / Piegāde / Pakalpojumi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p w14:paraId="3CD4BCDB" w14:textId="77777777" w:rsidR="0083467E" w:rsidRDefault="0083467E" w:rsidP="00F311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13003D" w14:paraId="068C4EE2" w14:textId="77777777" w:rsidTr="0083467E">
        <w:tc>
          <w:tcPr>
            <w:tcW w:w="3286" w:type="dxa"/>
          </w:tcPr>
          <w:p w14:paraId="66242878" w14:textId="03DBEAB6" w:rsidR="0013003D" w:rsidRDefault="0013003D" w:rsidP="0013003D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431606F" w14:textId="00AF8DB7" w:rsidR="0013003D" w:rsidRDefault="0013003D" w:rsidP="0013003D">
            <w:r>
              <w:t>par 2021. gadu</w:t>
            </w:r>
          </w:p>
        </w:tc>
        <w:tc>
          <w:tcPr>
            <w:tcW w:w="1363" w:type="dxa"/>
            <w:vAlign w:val="bottom"/>
          </w:tcPr>
          <w:p w14:paraId="454D37D3" w14:textId="01FB257D" w:rsidR="0013003D" w:rsidRDefault="0013003D" w:rsidP="0013003D">
            <w:pPr>
              <w:jc w:val="center"/>
            </w:pPr>
            <w:r>
              <w:t>28.10.2022.</w:t>
            </w:r>
          </w:p>
        </w:tc>
        <w:tc>
          <w:tcPr>
            <w:tcW w:w="1186" w:type="dxa"/>
            <w:vAlign w:val="center"/>
          </w:tcPr>
          <w:p w14:paraId="3E6367A7" w14:textId="77777777" w:rsidR="0013003D" w:rsidRDefault="0013003D" w:rsidP="0013003D">
            <w:pPr>
              <w:jc w:val="center"/>
            </w:pPr>
          </w:p>
        </w:tc>
      </w:tr>
      <w:tr w:rsidR="0013003D" w14:paraId="10E60255" w14:textId="77777777" w:rsidTr="0013003D">
        <w:tc>
          <w:tcPr>
            <w:tcW w:w="3286" w:type="dxa"/>
          </w:tcPr>
          <w:p w14:paraId="10B0B8C8" w14:textId="3C2C6F4F" w:rsidR="0013003D" w:rsidRDefault="0013003D" w:rsidP="0013003D">
            <w:r>
              <w:lastRenderedPageBreak/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6AD90B8" w14:textId="34D8E127" w:rsidR="0013003D" w:rsidRDefault="0013003D" w:rsidP="0013003D">
            <w:r>
              <w:t>par 2020. gadu</w:t>
            </w:r>
          </w:p>
        </w:tc>
        <w:tc>
          <w:tcPr>
            <w:tcW w:w="1363" w:type="dxa"/>
            <w:vAlign w:val="bottom"/>
          </w:tcPr>
          <w:p w14:paraId="2B95C84C" w14:textId="2DFF8E75" w:rsidR="0013003D" w:rsidRDefault="0013003D" w:rsidP="0013003D">
            <w:pPr>
              <w:jc w:val="center"/>
            </w:pPr>
          </w:p>
        </w:tc>
        <w:tc>
          <w:tcPr>
            <w:tcW w:w="1186" w:type="dxa"/>
            <w:vAlign w:val="bottom"/>
          </w:tcPr>
          <w:p w14:paraId="2C31E334" w14:textId="521421C0" w:rsidR="0013003D" w:rsidRDefault="0013003D" w:rsidP="0013003D">
            <w:pPr>
              <w:jc w:val="center"/>
            </w:pPr>
            <w:r>
              <w:t>Sk. arhīvā</w:t>
            </w:r>
          </w:p>
        </w:tc>
      </w:tr>
      <w:tr w:rsidR="0013003D" w14:paraId="37C5D3D9" w14:textId="77777777" w:rsidTr="0083467E">
        <w:tc>
          <w:tcPr>
            <w:tcW w:w="3286" w:type="dxa"/>
          </w:tcPr>
          <w:p w14:paraId="77D08154" w14:textId="24690EA0" w:rsidR="0013003D" w:rsidRDefault="0013003D" w:rsidP="0013003D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4FE7811" w14:textId="32965EFF" w:rsidR="0013003D" w:rsidRDefault="0013003D" w:rsidP="0013003D">
            <w:r>
              <w:t>par 2019. gadu</w:t>
            </w:r>
          </w:p>
        </w:tc>
        <w:tc>
          <w:tcPr>
            <w:tcW w:w="1363" w:type="dxa"/>
            <w:vAlign w:val="bottom"/>
          </w:tcPr>
          <w:p w14:paraId="0150E418" w14:textId="4AA89AF0" w:rsidR="0013003D" w:rsidRDefault="0013003D" w:rsidP="0013003D">
            <w:pPr>
              <w:jc w:val="center"/>
            </w:pPr>
          </w:p>
        </w:tc>
        <w:tc>
          <w:tcPr>
            <w:tcW w:w="1186" w:type="dxa"/>
            <w:vAlign w:val="bottom"/>
          </w:tcPr>
          <w:p w14:paraId="174B1DE0" w14:textId="7B81693E" w:rsidR="0013003D" w:rsidRDefault="0013003D" w:rsidP="0013003D">
            <w:pPr>
              <w:jc w:val="center"/>
            </w:pPr>
            <w:r>
              <w:t>Sk. arhīvā</w:t>
            </w:r>
          </w:p>
        </w:tc>
      </w:tr>
      <w:tr w:rsidR="0013003D" w14:paraId="4F8C7F71" w14:textId="77777777" w:rsidTr="003C566D">
        <w:tc>
          <w:tcPr>
            <w:tcW w:w="3286" w:type="dxa"/>
          </w:tcPr>
          <w:p w14:paraId="76F7E3C9" w14:textId="536AE58E" w:rsidR="0013003D" w:rsidRDefault="0013003D" w:rsidP="0013003D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EEA9746" w14:textId="560A636F" w:rsidR="0013003D" w:rsidRDefault="0013003D" w:rsidP="0013003D">
            <w:r>
              <w:t>par 2018. gadu</w:t>
            </w:r>
          </w:p>
        </w:tc>
        <w:tc>
          <w:tcPr>
            <w:tcW w:w="1363" w:type="dxa"/>
            <w:vAlign w:val="bottom"/>
          </w:tcPr>
          <w:p w14:paraId="28BA18A5" w14:textId="3B8F3B06" w:rsidR="0013003D" w:rsidRDefault="0013003D" w:rsidP="0013003D">
            <w:pPr>
              <w:jc w:val="center"/>
            </w:pPr>
          </w:p>
        </w:tc>
        <w:tc>
          <w:tcPr>
            <w:tcW w:w="1186" w:type="dxa"/>
            <w:vAlign w:val="bottom"/>
          </w:tcPr>
          <w:p w14:paraId="06503EF9" w14:textId="3B716F07" w:rsidR="0013003D" w:rsidRDefault="0013003D" w:rsidP="0013003D">
            <w:pPr>
              <w:jc w:val="center"/>
            </w:pPr>
            <w:r>
              <w:t>Sk. arhīvā</w:t>
            </w:r>
          </w:p>
        </w:tc>
      </w:tr>
      <w:tr w:rsidR="0013003D" w14:paraId="64B6CC5B" w14:textId="77777777" w:rsidTr="00BD0C40">
        <w:tc>
          <w:tcPr>
            <w:tcW w:w="3286" w:type="dxa"/>
          </w:tcPr>
          <w:p w14:paraId="4A0ADCE2" w14:textId="1CB45606" w:rsidR="0013003D" w:rsidRDefault="0013003D" w:rsidP="0013003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DC89FE6" w14:textId="3643895E" w:rsidR="0013003D" w:rsidRDefault="0013003D" w:rsidP="0013003D">
            <w:pPr>
              <w:jc w:val="both"/>
            </w:pPr>
            <w:r>
              <w:t>par 2017.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4AAED35" w14:textId="17E43A9D" w:rsidR="0013003D" w:rsidRDefault="0013003D" w:rsidP="0013003D">
            <w:pPr>
              <w:jc w:val="both"/>
            </w:pPr>
          </w:p>
        </w:tc>
        <w:tc>
          <w:tcPr>
            <w:tcW w:w="1186" w:type="dxa"/>
            <w:vAlign w:val="bottom"/>
          </w:tcPr>
          <w:p w14:paraId="1C5ADC01" w14:textId="4F735A39" w:rsidR="0013003D" w:rsidRDefault="0013003D" w:rsidP="0013003D">
            <w:pPr>
              <w:jc w:val="both"/>
            </w:pPr>
            <w:r>
              <w:t>Sk. arhīvā</w:t>
            </w:r>
          </w:p>
        </w:tc>
      </w:tr>
      <w:tr w:rsidR="0013003D" w14:paraId="553A5EDD" w14:textId="77777777" w:rsidTr="00BD0C40">
        <w:tc>
          <w:tcPr>
            <w:tcW w:w="3286" w:type="dxa"/>
          </w:tcPr>
          <w:p w14:paraId="31F15E25" w14:textId="4EF7D281" w:rsidR="0013003D" w:rsidRDefault="0013003D" w:rsidP="0013003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3B571BC" w14:textId="1A49DA03" w:rsidR="0013003D" w:rsidRDefault="0013003D" w:rsidP="0013003D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2D8E6EE" w14:textId="29A94ACA" w:rsidR="0013003D" w:rsidRDefault="0013003D" w:rsidP="0013003D">
            <w:pPr>
              <w:jc w:val="both"/>
            </w:pPr>
          </w:p>
        </w:tc>
        <w:tc>
          <w:tcPr>
            <w:tcW w:w="1186" w:type="dxa"/>
            <w:vAlign w:val="bottom"/>
          </w:tcPr>
          <w:p w14:paraId="462003B0" w14:textId="1759174C" w:rsidR="0013003D" w:rsidRDefault="0013003D" w:rsidP="0013003D">
            <w:pPr>
              <w:jc w:val="both"/>
            </w:pPr>
            <w:r>
              <w:t>Sk. arhīvā</w:t>
            </w:r>
          </w:p>
        </w:tc>
      </w:tr>
      <w:tr w:rsidR="0013003D" w14:paraId="045FE356" w14:textId="77777777" w:rsidTr="00BD0C40">
        <w:tc>
          <w:tcPr>
            <w:tcW w:w="3286" w:type="dxa"/>
          </w:tcPr>
          <w:p w14:paraId="1297D293" w14:textId="77777777" w:rsidR="0013003D" w:rsidRPr="00550F7F" w:rsidRDefault="0013003D" w:rsidP="0013003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575FBBC" w14:textId="71FE38D2" w:rsidR="0013003D" w:rsidRDefault="0013003D" w:rsidP="0013003D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5EA6F23C" w:rsidR="0013003D" w:rsidRDefault="0013003D" w:rsidP="0013003D">
            <w:pPr>
              <w:jc w:val="both"/>
            </w:pPr>
          </w:p>
        </w:tc>
        <w:tc>
          <w:tcPr>
            <w:tcW w:w="1186" w:type="dxa"/>
            <w:vAlign w:val="bottom"/>
          </w:tcPr>
          <w:p w14:paraId="1C6907E0" w14:textId="4FDF893D" w:rsidR="0013003D" w:rsidRDefault="0013003D" w:rsidP="0013003D">
            <w:pPr>
              <w:jc w:val="both"/>
            </w:pPr>
            <w:r>
              <w:t>Sk. arhīvā</w:t>
            </w:r>
          </w:p>
        </w:tc>
      </w:tr>
      <w:tr w:rsidR="0013003D" w14:paraId="5D01D764" w14:textId="77777777" w:rsidTr="00BD0C40">
        <w:tc>
          <w:tcPr>
            <w:tcW w:w="3286" w:type="dxa"/>
          </w:tcPr>
          <w:p w14:paraId="6DA10E3D" w14:textId="77777777" w:rsidR="0013003D" w:rsidRPr="00550F7F" w:rsidRDefault="0013003D" w:rsidP="0013003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6AC3C9C" w14:textId="0B00CF6C" w:rsidR="0013003D" w:rsidRDefault="0013003D" w:rsidP="0013003D">
            <w:pPr>
              <w:jc w:val="both"/>
            </w:pPr>
            <w:r>
              <w:t>par 2014.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89E0FA7" w14:textId="45A7D33E" w:rsidR="0013003D" w:rsidRDefault="0013003D" w:rsidP="0013003D">
            <w:pPr>
              <w:jc w:val="both"/>
            </w:pPr>
          </w:p>
        </w:tc>
        <w:tc>
          <w:tcPr>
            <w:tcW w:w="1186" w:type="dxa"/>
            <w:vAlign w:val="bottom"/>
          </w:tcPr>
          <w:p w14:paraId="52CB517C" w14:textId="4DA0BFB4" w:rsidR="0013003D" w:rsidRDefault="0013003D" w:rsidP="0013003D">
            <w:pPr>
              <w:jc w:val="both"/>
            </w:pPr>
            <w:r>
              <w:t>Sk. arhīvā</w:t>
            </w:r>
          </w:p>
        </w:tc>
      </w:tr>
      <w:tr w:rsidR="0013003D" w14:paraId="095B36C2" w14:textId="77777777" w:rsidTr="00BD0C40">
        <w:tc>
          <w:tcPr>
            <w:tcW w:w="3286" w:type="dxa"/>
          </w:tcPr>
          <w:p w14:paraId="10147D48" w14:textId="2D142220" w:rsidR="0013003D" w:rsidRDefault="0013003D" w:rsidP="0013003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D16F637" w14:textId="5E50A9F3" w:rsidR="0013003D" w:rsidRDefault="0013003D" w:rsidP="0013003D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4F08B9F" w14:textId="525FDD7F" w:rsidR="0013003D" w:rsidRDefault="0013003D" w:rsidP="0013003D">
            <w:pPr>
              <w:jc w:val="both"/>
            </w:pPr>
          </w:p>
        </w:tc>
        <w:tc>
          <w:tcPr>
            <w:tcW w:w="1186" w:type="dxa"/>
            <w:vAlign w:val="bottom"/>
          </w:tcPr>
          <w:p w14:paraId="4B29457A" w14:textId="2AE72E5D" w:rsidR="0013003D" w:rsidRDefault="0013003D" w:rsidP="0013003D">
            <w:pPr>
              <w:jc w:val="both"/>
            </w:pPr>
            <w:r>
              <w:t>Sk. arhīvā</w:t>
            </w:r>
          </w:p>
        </w:tc>
      </w:tr>
      <w:tr w:rsidR="0013003D" w14:paraId="5860D5E2" w14:textId="77777777" w:rsidTr="00BD0C40">
        <w:tc>
          <w:tcPr>
            <w:tcW w:w="3286" w:type="dxa"/>
          </w:tcPr>
          <w:p w14:paraId="4266F98C" w14:textId="361D224C" w:rsidR="0013003D" w:rsidRDefault="0013003D" w:rsidP="0013003D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03803E8A" w14:textId="7F1FBEEF" w:rsidR="0013003D" w:rsidRDefault="0013003D" w:rsidP="0013003D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9EBDCF7" w14:textId="42C12129" w:rsidR="0013003D" w:rsidRDefault="0013003D" w:rsidP="0013003D">
            <w:pPr>
              <w:jc w:val="both"/>
            </w:pPr>
          </w:p>
        </w:tc>
        <w:tc>
          <w:tcPr>
            <w:tcW w:w="1186" w:type="dxa"/>
            <w:vAlign w:val="bottom"/>
          </w:tcPr>
          <w:p w14:paraId="1888EFB6" w14:textId="01EA74B0" w:rsidR="0013003D" w:rsidRDefault="0013003D" w:rsidP="0013003D">
            <w:pPr>
              <w:jc w:val="both"/>
            </w:pPr>
            <w:r>
              <w:t>Sk. arhīvā</w:t>
            </w:r>
          </w:p>
        </w:tc>
      </w:tr>
    </w:tbl>
    <w:p w14:paraId="2AB0ECE6" w14:textId="72ACAAC6" w:rsidR="00070CE9" w:rsidRDefault="00070CE9" w:rsidP="00F31123">
      <w:pPr>
        <w:jc w:val="both"/>
        <w:rPr>
          <w:b/>
          <w:sz w:val="24"/>
          <w:szCs w:val="24"/>
        </w:rPr>
      </w:pPr>
    </w:p>
    <w:p w14:paraId="65207420" w14:textId="1E938677" w:rsidR="00653A81" w:rsidRDefault="00653A81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1C9A3343" w14:textId="5DFD5E2C" w:rsidR="00653A81" w:rsidRPr="00653A81" w:rsidRDefault="0013003D" w:rsidP="00F3112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="00653A81" w:rsidRPr="00653A81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</w:t>
      </w:r>
      <w:r w:rsidR="00653A81" w:rsidRPr="00653A81">
        <w:rPr>
          <w:bCs/>
          <w:sz w:val="24"/>
          <w:szCs w:val="24"/>
        </w:rPr>
        <w:t>.202</w:t>
      </w:r>
      <w:r w:rsidR="00C122F5">
        <w:rPr>
          <w:bCs/>
          <w:sz w:val="24"/>
          <w:szCs w:val="24"/>
        </w:rPr>
        <w:t>2</w:t>
      </w:r>
      <w:r w:rsidR="00653A81" w:rsidRPr="00653A81">
        <w:rPr>
          <w:bCs/>
          <w:sz w:val="24"/>
          <w:szCs w:val="24"/>
        </w:rPr>
        <w:t>.</w:t>
      </w: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5DC0C17B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471AF7">
        <w:t>2</w:t>
      </w:r>
      <w:r w:rsidRPr="00C47D9A">
        <w:t>. gada.</w:t>
      </w:r>
    </w:p>
    <w:p w14:paraId="0BBBE84D" w14:textId="7B0351E2" w:rsidR="00F31123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61A9B1B0" w:rsidR="00F31123" w:rsidRDefault="00F31123" w:rsidP="007B47B4">
      <w:pPr>
        <w:spacing w:after="0"/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</w:t>
      </w:r>
      <w:r w:rsidR="007B47B4">
        <w:t xml:space="preserve">vēlams </w:t>
      </w:r>
      <w:r>
        <w:t xml:space="preserve">norādot atsauces uz iegūtās informācijas avotu. </w:t>
      </w:r>
    </w:p>
    <w:p w14:paraId="46129CCE" w14:textId="77777777" w:rsidR="007B47B4" w:rsidRDefault="007B47B4" w:rsidP="007B47B4">
      <w:pPr>
        <w:spacing w:after="0"/>
        <w:jc w:val="both"/>
      </w:pPr>
    </w:p>
    <w:p w14:paraId="13726DF9" w14:textId="77777777" w:rsidR="00F31123" w:rsidRPr="00D34856" w:rsidRDefault="00F31123" w:rsidP="007B47B4">
      <w:pPr>
        <w:spacing w:after="0"/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1F2FB5BB" w:rsidR="00F31123" w:rsidRDefault="00F31123" w:rsidP="007B47B4">
      <w:pPr>
        <w:spacing w:after="0"/>
        <w:jc w:val="both"/>
      </w:pPr>
      <w:r>
        <w:t xml:space="preserve">Datu izplatīšanas formāts (MS Excel). </w:t>
      </w:r>
    </w:p>
    <w:p w14:paraId="045B8F18" w14:textId="77777777" w:rsidR="007B47B4" w:rsidRDefault="007B47B4" w:rsidP="007B47B4">
      <w:pPr>
        <w:spacing w:after="0"/>
        <w:jc w:val="both"/>
      </w:pPr>
    </w:p>
    <w:p w14:paraId="7A6C1683" w14:textId="7E0E2646" w:rsidR="00F31123" w:rsidRDefault="00F31123" w:rsidP="007B47B4">
      <w:pPr>
        <w:shd w:val="clear" w:color="auto" w:fill="FFFFFF" w:themeFill="background1"/>
        <w:spacing w:after="0"/>
        <w:jc w:val="both"/>
        <w:rPr>
          <w:b/>
        </w:rPr>
      </w:pPr>
      <w:r w:rsidRPr="008E1014">
        <w:rPr>
          <w:b/>
        </w:rPr>
        <w:t xml:space="preserve">Datu lietotāji  </w:t>
      </w:r>
    </w:p>
    <w:p w14:paraId="1FA8924F" w14:textId="7E8F8663" w:rsidR="00F31123" w:rsidRDefault="00F31123" w:rsidP="007B47B4">
      <w:pPr>
        <w:shd w:val="clear" w:color="auto" w:fill="FFFFFF" w:themeFill="background1"/>
        <w:spacing w:after="0"/>
        <w:jc w:val="both"/>
      </w:pPr>
      <w:r>
        <w:t>Eiropas Komisija un citi lietotāji.</w:t>
      </w:r>
    </w:p>
    <w:p w14:paraId="63237747" w14:textId="77777777" w:rsidR="007B47B4" w:rsidRPr="008E1014" w:rsidRDefault="007B47B4" w:rsidP="007B47B4">
      <w:pPr>
        <w:shd w:val="clear" w:color="auto" w:fill="FFFFFF" w:themeFill="background1"/>
        <w:spacing w:after="0"/>
        <w:jc w:val="both"/>
      </w:pPr>
    </w:p>
    <w:p w14:paraId="210197C6" w14:textId="77777777" w:rsidR="00F31123" w:rsidRPr="00DC5493" w:rsidRDefault="00F31123" w:rsidP="007B47B4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5C72C846" w:rsidR="00F31123" w:rsidRDefault="00F31123" w:rsidP="007B47B4">
      <w:pPr>
        <w:spacing w:after="0"/>
        <w:jc w:val="both"/>
      </w:pPr>
      <w:r>
        <w:t>Dati tiek iegūti pilnā apsekojumā,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575832">
        <w:t>201</w:t>
      </w:r>
      <w:r w:rsidR="00BE5A91">
        <w:t>7. gada 28. februāra</w:t>
      </w:r>
      <w:r w:rsidR="00575832">
        <w:t xml:space="preserve"> </w:t>
      </w:r>
      <w:r>
        <w:t>noteikumu Nr. 1</w:t>
      </w:r>
      <w:r w:rsidR="00BE5A91">
        <w:t>02</w:t>
      </w:r>
      <w:r>
        <w:t xml:space="preserve"> </w:t>
      </w:r>
      <w:hyperlink r:id="rId9" w:history="1">
        <w:r w:rsidR="00AA7095" w:rsidRPr="00D503D1">
          <w:rPr>
            <w:rStyle w:val="Hyperlink"/>
          </w:rPr>
          <w:t>„Noteikum</w:t>
        </w:r>
        <w:r w:rsidR="00BE5A91" w:rsidRPr="00D503D1">
          <w:rPr>
            <w:rStyle w:val="Hyperlink"/>
          </w:rPr>
          <w:t>i par oficiālās statistikas veidlapu paraugiem iepirkumu jomā un veidlapu iesniegšanas un aizpildīšanas kārtību”</w:t>
        </w:r>
      </w:hyperlink>
      <w:r w:rsidR="00AA7095">
        <w:t xml:space="preserve"> </w:t>
      </w:r>
      <w:r>
        <w:t>prasībām.</w:t>
      </w:r>
    </w:p>
    <w:p w14:paraId="3A7A08C9" w14:textId="77777777" w:rsidR="007B47B4" w:rsidRDefault="007B47B4" w:rsidP="007B47B4">
      <w:pPr>
        <w:spacing w:after="0"/>
        <w:jc w:val="both"/>
      </w:pPr>
    </w:p>
    <w:p w14:paraId="063DF7F6" w14:textId="485DEBA2" w:rsidR="00F31123" w:rsidRPr="00DC5493" w:rsidRDefault="00F31123" w:rsidP="007B47B4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08652501" w:rsidR="00F31123" w:rsidRDefault="00753A48" w:rsidP="007B47B4">
      <w:pPr>
        <w:spacing w:after="0"/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r>
        <w:t xml:space="preserve">aizsardzības un drošības jomas </w:t>
      </w:r>
      <w:r w:rsidR="00F31123">
        <w:t>iepirkumiem. Lai elektroniski iesniegtu a</w:t>
      </w:r>
      <w:r>
        <w:t xml:space="preserve">ttiecīgo statistikas </w:t>
      </w:r>
      <w:r>
        <w:lastRenderedPageBreak/>
        <w:t>pārskatu, pasūtītājiem un s</w:t>
      </w:r>
      <w:r w:rsidR="00F31123">
        <w:t>abiedrisko pakalpojumu sniedzēj</w:t>
      </w:r>
      <w:r w:rsidR="00D02EA7">
        <w:t>ie</w:t>
      </w:r>
      <w:r w:rsidR="00F31123">
        <w:t>m ir jābūt reģistrēt</w:t>
      </w:r>
      <w:r>
        <w:t>ie</w:t>
      </w:r>
      <w:r w:rsidR="00F31123">
        <w:t>m Publikāciju vadības sistēmas lietotāj</w:t>
      </w:r>
      <w:r w:rsidR="00D02EA7">
        <w:t>ie</w:t>
      </w:r>
      <w:r w:rsidR="00F31123">
        <w:t>m.</w:t>
      </w:r>
    </w:p>
    <w:p w14:paraId="2B49599A" w14:textId="77777777" w:rsidR="007B47B4" w:rsidRDefault="007B47B4" w:rsidP="007B47B4">
      <w:pPr>
        <w:spacing w:after="0"/>
        <w:jc w:val="both"/>
      </w:pPr>
    </w:p>
    <w:p w14:paraId="4784C426" w14:textId="77777777" w:rsidR="00F31123" w:rsidRPr="00B02E17" w:rsidRDefault="00F31123" w:rsidP="007B47B4">
      <w:pPr>
        <w:spacing w:after="0"/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6EFF9E9D" w:rsidR="00F31123" w:rsidRDefault="00F31123" w:rsidP="007B47B4">
      <w:pPr>
        <w:spacing w:after="0"/>
        <w:jc w:val="both"/>
      </w:pPr>
      <w:r>
        <w:t>Atskaites periods ir kalendārais gads.</w:t>
      </w:r>
    </w:p>
    <w:p w14:paraId="5F74E5BE" w14:textId="77777777" w:rsidR="007B47B4" w:rsidRPr="00EE7C26" w:rsidRDefault="007B47B4" w:rsidP="007B47B4">
      <w:pPr>
        <w:spacing w:after="0"/>
        <w:jc w:val="both"/>
      </w:pPr>
    </w:p>
    <w:p w14:paraId="18A4180F" w14:textId="77777777" w:rsidR="00F31123" w:rsidRDefault="00F31123" w:rsidP="007B47B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15F91735" w:rsidR="00F31123" w:rsidRDefault="00F31123" w:rsidP="007B47B4">
      <w:pPr>
        <w:spacing w:after="0"/>
        <w:jc w:val="both"/>
      </w:pPr>
      <w:r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r w:rsidR="00AF283F">
        <w:rPr>
          <w:i/>
        </w:rPr>
        <w:t>Common Procurement Vocabulary</w:t>
      </w:r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(EK) Nr.213/2008 (2007. gada 28. 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>CPV nomenklatūra piemērojama publiskajam iepirkumam, lai standartizētu norādes, kuras izmanto līgumslēdzējas iestādes sava iepirkuma priekšmeta norādīšanai.</w:t>
      </w:r>
    </w:p>
    <w:p w14:paraId="0FFBF6AB" w14:textId="77777777" w:rsidR="007B47B4" w:rsidRDefault="007B47B4" w:rsidP="007B47B4">
      <w:pPr>
        <w:spacing w:after="0"/>
        <w:jc w:val="both"/>
      </w:pPr>
    </w:p>
    <w:p w14:paraId="0D1F0306" w14:textId="77777777" w:rsidR="00F31123" w:rsidRPr="00621F1C" w:rsidRDefault="00F31123" w:rsidP="007B47B4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487896" w14:textId="54F6CF16" w:rsidR="00F31123" w:rsidRDefault="00F31123" w:rsidP="007B47B4">
      <w:pPr>
        <w:spacing w:after="0"/>
        <w:jc w:val="both"/>
      </w:pPr>
      <w:r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4D396973" w:rsidR="00F31123" w:rsidRDefault="00F31123" w:rsidP="007B47B4">
      <w:pPr>
        <w:spacing w:after="0"/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2E8F35D3" w14:textId="77777777" w:rsidR="007B47B4" w:rsidRDefault="007B47B4" w:rsidP="007B47B4">
      <w:pPr>
        <w:spacing w:after="0"/>
        <w:jc w:val="both"/>
      </w:pPr>
    </w:p>
    <w:p w14:paraId="4777616D" w14:textId="77777777" w:rsidR="00F31123" w:rsidRDefault="00F31123" w:rsidP="007B47B4">
      <w:pPr>
        <w:spacing w:after="0"/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02D48745" w:rsidR="00F31123" w:rsidRDefault="00C559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2E5617CB" w14:textId="77777777" w:rsidR="007B47B4" w:rsidRPr="00F5495A" w:rsidRDefault="007B47B4" w:rsidP="007B47B4">
      <w:pPr>
        <w:spacing w:after="0"/>
        <w:jc w:val="both"/>
        <w:rPr>
          <w:sz w:val="24"/>
          <w:szCs w:val="24"/>
        </w:rPr>
      </w:pPr>
    </w:p>
    <w:p w14:paraId="670CE1BD" w14:textId="77777777" w:rsidR="00F31123" w:rsidRPr="00C64F90" w:rsidRDefault="00F31123" w:rsidP="007B47B4">
      <w:pPr>
        <w:spacing w:after="0"/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5ADCE000" w:rsidR="00F31123" w:rsidRDefault="00F31123" w:rsidP="007B47B4">
      <w:pPr>
        <w:shd w:val="clear" w:color="auto" w:fill="FFFFFF" w:themeFill="background1"/>
        <w:spacing w:after="0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68A47A0" w14:textId="77777777" w:rsidR="007B47B4" w:rsidRDefault="007B47B4" w:rsidP="007B47B4">
      <w:pPr>
        <w:shd w:val="clear" w:color="auto" w:fill="FFFFFF" w:themeFill="background1"/>
        <w:spacing w:after="0"/>
        <w:jc w:val="both"/>
      </w:pPr>
    </w:p>
    <w:p w14:paraId="626047F1" w14:textId="77777777" w:rsidR="00F31123" w:rsidRPr="00DF3417" w:rsidRDefault="00F31123" w:rsidP="007B47B4">
      <w:pPr>
        <w:spacing w:after="0"/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3E6F92D6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5960F2F5" w14:textId="77777777" w:rsidR="007B47B4" w:rsidRDefault="007B47B4" w:rsidP="007B47B4">
      <w:pPr>
        <w:spacing w:after="0"/>
        <w:jc w:val="both"/>
        <w:rPr>
          <w:sz w:val="24"/>
          <w:szCs w:val="24"/>
        </w:rPr>
      </w:pPr>
    </w:p>
    <w:p w14:paraId="0FA898EE" w14:textId="77777777" w:rsidR="00F31123" w:rsidRPr="003431ED" w:rsidRDefault="00F31123" w:rsidP="007B47B4">
      <w:pPr>
        <w:spacing w:after="0"/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4F969752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5F37F496" w14:textId="77777777" w:rsidR="007B47B4" w:rsidRDefault="007B47B4" w:rsidP="007B47B4">
      <w:pPr>
        <w:spacing w:after="0"/>
        <w:jc w:val="both"/>
        <w:rPr>
          <w:sz w:val="24"/>
          <w:szCs w:val="24"/>
        </w:rPr>
      </w:pPr>
    </w:p>
    <w:p w14:paraId="7B4F78A6" w14:textId="7602BCDE" w:rsidR="00F31123" w:rsidRPr="00DD2E22" w:rsidRDefault="00F31123" w:rsidP="007B47B4">
      <w:pPr>
        <w:spacing w:after="0"/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FDF44BC" w:rsidR="00F31123" w:rsidRDefault="00C559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reizi</w:t>
      </w:r>
      <w:r w:rsidR="00F7698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gadā (līdz 1. martam). </w:t>
      </w:r>
    </w:p>
    <w:p w14:paraId="1CE07C63" w14:textId="0F500B2A" w:rsidR="00F31123" w:rsidRDefault="00C559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31CFB2CF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080B6A8C" w14:textId="77777777" w:rsidR="007B47B4" w:rsidRDefault="007B47B4" w:rsidP="007B47B4">
      <w:pPr>
        <w:spacing w:after="0"/>
        <w:jc w:val="both"/>
        <w:rPr>
          <w:sz w:val="24"/>
          <w:szCs w:val="24"/>
        </w:rPr>
      </w:pPr>
    </w:p>
    <w:p w14:paraId="6037FD08" w14:textId="77777777" w:rsidR="00F31123" w:rsidRPr="00713B42" w:rsidRDefault="00F31123" w:rsidP="007B47B4">
      <w:pPr>
        <w:spacing w:after="0"/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5CE4CC57" w:rsidR="00F31123" w:rsidRDefault="00F31123" w:rsidP="007B47B4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 w:rsidRPr="002B75E0">
        <w:rPr>
          <w:sz w:val="24"/>
          <w:szCs w:val="24"/>
        </w:rPr>
        <w:t>Dati netiek salīdzināti, tikai apkopoti.</w:t>
      </w:r>
    </w:p>
    <w:p w14:paraId="50800B5B" w14:textId="77777777" w:rsidR="007B47B4" w:rsidRPr="002B75E0" w:rsidRDefault="007B47B4" w:rsidP="007B47B4">
      <w:pPr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14:paraId="2D8A86DD" w14:textId="77777777" w:rsidR="00F31123" w:rsidRDefault="00F31123" w:rsidP="007B47B4">
      <w:pPr>
        <w:spacing w:after="0"/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000000" w:rsidP="00BD0C40">
            <w:pPr>
              <w:jc w:val="both"/>
            </w:pPr>
            <w:hyperlink r:id="rId10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3AD65861" w:rsidR="00F31123" w:rsidRPr="00C26E9C" w:rsidRDefault="0013003D" w:rsidP="00BD0C40">
            <w:pPr>
              <w:jc w:val="both"/>
            </w:pPr>
            <w:r>
              <w:t>24556632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1ED82CDB" w:rsidR="00F31123" w:rsidRPr="00C64F90" w:rsidRDefault="0083467E" w:rsidP="00F31123">
      <w:pPr>
        <w:jc w:val="both"/>
      </w:pPr>
      <w:r>
        <w:t>2</w:t>
      </w:r>
      <w:r w:rsidR="0013003D">
        <w:t>8</w:t>
      </w:r>
      <w:r w:rsidR="00F31123">
        <w:t>.</w:t>
      </w:r>
      <w:r w:rsidR="00C732D3">
        <w:t>10</w:t>
      </w:r>
      <w:r w:rsidR="00F31123">
        <w:t>.20</w:t>
      </w:r>
      <w:r w:rsidR="003C566D">
        <w:t>2</w:t>
      </w:r>
      <w:r w:rsidR="0013003D">
        <w:t>2</w:t>
      </w:r>
      <w:r w:rsidR="00F31123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359DEFF1" w:rsidR="003D2826" w:rsidRDefault="00000000">
      <w:hyperlink r:id="rId11" w:history="1">
        <w:r w:rsidR="00F7698E" w:rsidRPr="00F7698E">
          <w:rPr>
            <w:rStyle w:val="Hyperlink"/>
            <w:b/>
          </w:rPr>
          <w:t>Kopsavilkums par iepirkumiem a</w:t>
        </w:r>
        <w:r w:rsidR="00AE154E" w:rsidRPr="00F7698E">
          <w:rPr>
            <w:rStyle w:val="Hyperlink"/>
            <w:b/>
          </w:rPr>
          <w:t>izsardzības un drošības jom</w:t>
        </w:r>
        <w:r w:rsidR="00F7698E" w:rsidRPr="00F7698E">
          <w:rPr>
            <w:rStyle w:val="Hyperlink"/>
            <w:b/>
          </w:rPr>
          <w:t>ā valsts sektorā</w:t>
        </w:r>
      </w:hyperlink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9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70CE9"/>
    <w:rsid w:val="00074B97"/>
    <w:rsid w:val="000839C0"/>
    <w:rsid w:val="000A77E4"/>
    <w:rsid w:val="0013003D"/>
    <w:rsid w:val="0016006A"/>
    <w:rsid w:val="001958D2"/>
    <w:rsid w:val="001B1C33"/>
    <w:rsid w:val="001F3BF8"/>
    <w:rsid w:val="00225F8B"/>
    <w:rsid w:val="002B75E0"/>
    <w:rsid w:val="002D66A7"/>
    <w:rsid w:val="003C0227"/>
    <w:rsid w:val="003C566D"/>
    <w:rsid w:val="003C5AB0"/>
    <w:rsid w:val="003D2826"/>
    <w:rsid w:val="003D5AF7"/>
    <w:rsid w:val="003E1ECD"/>
    <w:rsid w:val="00471AF7"/>
    <w:rsid w:val="00494467"/>
    <w:rsid w:val="004A4595"/>
    <w:rsid w:val="004C624B"/>
    <w:rsid w:val="004F3B9C"/>
    <w:rsid w:val="00575832"/>
    <w:rsid w:val="00593BEB"/>
    <w:rsid w:val="005A01B8"/>
    <w:rsid w:val="00653A81"/>
    <w:rsid w:val="00665CA0"/>
    <w:rsid w:val="006A4232"/>
    <w:rsid w:val="006D3670"/>
    <w:rsid w:val="006F22B7"/>
    <w:rsid w:val="007436EE"/>
    <w:rsid w:val="00753A48"/>
    <w:rsid w:val="007A72D0"/>
    <w:rsid w:val="007B47B4"/>
    <w:rsid w:val="007B5BBE"/>
    <w:rsid w:val="007D76AB"/>
    <w:rsid w:val="0083467E"/>
    <w:rsid w:val="008B7619"/>
    <w:rsid w:val="008F3530"/>
    <w:rsid w:val="00905D37"/>
    <w:rsid w:val="0092301F"/>
    <w:rsid w:val="00937987"/>
    <w:rsid w:val="0094342A"/>
    <w:rsid w:val="0094782B"/>
    <w:rsid w:val="00980C55"/>
    <w:rsid w:val="0099448C"/>
    <w:rsid w:val="009A6457"/>
    <w:rsid w:val="009B6F12"/>
    <w:rsid w:val="009C5648"/>
    <w:rsid w:val="009E7C08"/>
    <w:rsid w:val="00A51390"/>
    <w:rsid w:val="00A777E1"/>
    <w:rsid w:val="00A96F52"/>
    <w:rsid w:val="00AA7095"/>
    <w:rsid w:val="00AC0C78"/>
    <w:rsid w:val="00AE154E"/>
    <w:rsid w:val="00AF1563"/>
    <w:rsid w:val="00AF283F"/>
    <w:rsid w:val="00B23099"/>
    <w:rsid w:val="00B86047"/>
    <w:rsid w:val="00B95024"/>
    <w:rsid w:val="00B96937"/>
    <w:rsid w:val="00BE5A91"/>
    <w:rsid w:val="00C122F5"/>
    <w:rsid w:val="00C559E4"/>
    <w:rsid w:val="00C732D3"/>
    <w:rsid w:val="00D02EA7"/>
    <w:rsid w:val="00D503D1"/>
    <w:rsid w:val="00D50467"/>
    <w:rsid w:val="00DA19D0"/>
    <w:rsid w:val="00DF2FD4"/>
    <w:rsid w:val="00E3525E"/>
    <w:rsid w:val="00E55B56"/>
    <w:rsid w:val="00EB7699"/>
    <w:rsid w:val="00EC21CE"/>
    <w:rsid w:val="00ED4701"/>
    <w:rsid w:val="00EF66E6"/>
    <w:rsid w:val="00F31123"/>
    <w:rsid w:val="00F628CE"/>
    <w:rsid w:val="00F7698E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7F4EAB3C-81F5-4189-8750-77AE3B9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C0C7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B47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0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ub.gov.lv/lv/oficialas-statistikas-veidlapu-apkopojums" TargetMode="External"/><Relationship Id="rId5" Type="http://schemas.openxmlformats.org/officeDocument/2006/relationships/styles" Target="styles.xml"/><Relationship Id="rId10" Type="http://schemas.openxmlformats.org/officeDocument/2006/relationships/hyperlink" Target="mailto:pasts@iub.gov.l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kumi.lv/ta/id/289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20748-5AC9-4E00-AA47-A5C5798DF9F0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1763CEEA-40CE-4EF7-B282-FA0F5881B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AABD6-552A-41DA-A525-9DB241EDE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5500</Words>
  <Characters>3136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10</cp:revision>
  <dcterms:created xsi:type="dcterms:W3CDTF">2020-10-28T14:04:00Z</dcterms:created>
  <dcterms:modified xsi:type="dcterms:W3CDTF">2022-10-27T13:03:00Z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1018800</vt:r8>
  </property>
  <property fmtid="{D5CDD505-2E9C-101B-9397-08002B2CF9AE}" pid="4" name="MediaServiceImageTags">
    <vt:lpwstr/>
  </property>
</Properties>
</file>